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160FAC30" w14:textId="7A2F2693" w:rsidR="008D6F7F" w:rsidRPr="00F00D3F" w:rsidRDefault="008D6F7F" w:rsidP="00B37CF1">
      <w:pPr>
        <w:jc w:val="center"/>
        <w:rPr>
          <w:rFonts w:asciiTheme="minorHAnsi" w:hAnsiTheme="minorHAnsi" w:cstheme="minorHAnsi"/>
          <w:color w:val="1F497D" w:themeColor="text2"/>
          <w:lang w:val="sr-Latn-RS"/>
        </w:rPr>
      </w:pPr>
      <w:r w:rsidRPr="00F00D3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R</w:t>
      </w:r>
      <w:r w:rsidR="007851E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ADNO VREME LIDL PRODAVNICA TOKOM PRAZNIKA</w:t>
      </w:r>
    </w:p>
    <w:p w14:paraId="5EE807F3" w14:textId="61B4470A" w:rsidR="008D6F7F" w:rsidRPr="007851ED" w:rsidRDefault="007D4425" w:rsidP="008D6F7F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Kompanija </w:t>
      </w:r>
      <w:r w:rsidR="008D6F7F" w:rsidRPr="007851ED">
        <w:rPr>
          <w:rFonts w:asciiTheme="minorHAnsi" w:hAnsiTheme="minorHAnsi" w:cstheme="minorHAnsi"/>
          <w:b/>
          <w:bCs/>
          <w:lang w:val="sr-Latn-RS"/>
        </w:rPr>
        <w:t xml:space="preserve">Lidl Srbija obaveštava </w:t>
      </w:r>
      <w:r w:rsidR="000C6196">
        <w:rPr>
          <w:rFonts w:asciiTheme="minorHAnsi" w:hAnsiTheme="minorHAnsi" w:cstheme="minorHAnsi"/>
          <w:b/>
          <w:bCs/>
          <w:lang w:val="sr-Latn-RS"/>
        </w:rPr>
        <w:t>svoje</w:t>
      </w:r>
      <w:r w:rsidR="000C6196" w:rsidRPr="007851ED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D6F7F" w:rsidRPr="007851ED">
        <w:rPr>
          <w:rFonts w:asciiTheme="minorHAnsi" w:hAnsiTheme="minorHAnsi" w:cstheme="minorHAnsi"/>
          <w:b/>
          <w:bCs/>
          <w:lang w:val="sr-Latn-RS"/>
        </w:rPr>
        <w:t xml:space="preserve">potrošače da će </w:t>
      </w:r>
      <w:r w:rsidR="00867DD5" w:rsidRPr="007851ED">
        <w:rPr>
          <w:rFonts w:asciiTheme="minorHAnsi" w:hAnsiTheme="minorHAnsi" w:cstheme="minorHAnsi"/>
          <w:b/>
          <w:bCs/>
          <w:lang w:val="sr-Latn-RS"/>
        </w:rPr>
        <w:t>Lidl prodavnice tokom novogodišnjih i božićnih praznika</w:t>
      </w:r>
      <w:r w:rsidR="005876F3" w:rsidRPr="007851ED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CF15E0">
        <w:rPr>
          <w:rFonts w:asciiTheme="minorHAnsi" w:hAnsiTheme="minorHAnsi" w:cstheme="minorHAnsi"/>
          <w:b/>
          <w:bCs/>
          <w:lang w:val="sr-Latn-RS"/>
        </w:rPr>
        <w:t xml:space="preserve">raditi </w:t>
      </w:r>
      <w:r w:rsidR="005876F3" w:rsidRPr="007851ED">
        <w:rPr>
          <w:rFonts w:asciiTheme="minorHAnsi" w:hAnsiTheme="minorHAnsi" w:cstheme="minorHAnsi"/>
          <w:b/>
          <w:bCs/>
          <w:lang w:val="sr-Latn-RS"/>
        </w:rPr>
        <w:t>u nešto izmenjenom</w:t>
      </w:r>
      <w:r w:rsidR="00867DD5" w:rsidRPr="007851ED">
        <w:rPr>
          <w:rFonts w:asciiTheme="minorHAnsi" w:hAnsiTheme="minorHAnsi" w:cstheme="minorHAnsi"/>
          <w:b/>
          <w:bCs/>
          <w:lang w:val="sr-Latn-RS"/>
        </w:rPr>
        <w:t xml:space="preserve"> radnom vremenu. </w:t>
      </w:r>
    </w:p>
    <w:p w14:paraId="2081A305" w14:textId="15C55CD9" w:rsidR="00CF15E0" w:rsidRDefault="000C6196" w:rsidP="008D6F7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Kako bi zaposleni u ovoj kompaniji, kao i Lidl potrošači, imali priliku da iskoriste poslednje trenutke za svoju prazničnu kupovinu, o</w:t>
      </w:r>
      <w:r w:rsidR="00867DD5">
        <w:rPr>
          <w:rFonts w:asciiTheme="minorHAnsi" w:hAnsiTheme="minorHAnsi" w:cstheme="minorHAnsi"/>
          <w:lang w:val="sr-Latn-RS"/>
        </w:rPr>
        <w:t xml:space="preserve">ve </w:t>
      </w:r>
      <w:r>
        <w:rPr>
          <w:rFonts w:asciiTheme="minorHAnsi" w:hAnsiTheme="minorHAnsi" w:cstheme="minorHAnsi"/>
          <w:lang w:val="sr-Latn-RS"/>
        </w:rPr>
        <w:t xml:space="preserve">godine </w:t>
      </w:r>
      <w:r w:rsidR="00867DD5">
        <w:rPr>
          <w:rFonts w:asciiTheme="minorHAnsi" w:hAnsiTheme="minorHAnsi" w:cstheme="minorHAnsi"/>
          <w:lang w:val="sr-Latn-RS"/>
        </w:rPr>
        <w:t>Lidl prodavnice će 31.12. raditi skraćeno do 18 časov</w:t>
      </w:r>
      <w:r w:rsidR="005876F3">
        <w:rPr>
          <w:rFonts w:asciiTheme="minorHAnsi" w:hAnsiTheme="minorHAnsi" w:cstheme="minorHAnsi"/>
          <w:lang w:val="sr-Latn-RS"/>
        </w:rPr>
        <w:t>a.</w:t>
      </w:r>
      <w:r w:rsidR="00CC3172">
        <w:rPr>
          <w:rFonts w:asciiTheme="minorHAnsi" w:hAnsiTheme="minorHAnsi" w:cstheme="minorHAnsi"/>
          <w:lang w:val="sr-Latn-RS"/>
        </w:rPr>
        <w:t xml:space="preserve"> </w:t>
      </w:r>
      <w:r w:rsidR="009B1BB1">
        <w:rPr>
          <w:rFonts w:asciiTheme="minorHAnsi" w:hAnsiTheme="minorHAnsi" w:cstheme="minorHAnsi"/>
          <w:lang w:val="sr-Latn-RS"/>
        </w:rPr>
        <w:t>P</w:t>
      </w:r>
      <w:r w:rsidR="00CC3172">
        <w:rPr>
          <w:rFonts w:asciiTheme="minorHAnsi" w:hAnsiTheme="minorHAnsi" w:cstheme="minorHAnsi"/>
          <w:lang w:val="sr-Latn-RS"/>
        </w:rPr>
        <w:t>rvi kalendarski dan nove godine</w:t>
      </w:r>
      <w:r w:rsidR="009B1BB1">
        <w:rPr>
          <w:rFonts w:asciiTheme="minorHAnsi" w:hAnsiTheme="minorHAnsi" w:cstheme="minorHAnsi"/>
          <w:lang w:val="sr-Latn-RS"/>
        </w:rPr>
        <w:t xml:space="preserve"> je</w:t>
      </w:r>
      <w:r w:rsidR="00CC3172">
        <w:rPr>
          <w:rFonts w:asciiTheme="minorHAnsi" w:hAnsiTheme="minorHAnsi" w:cstheme="minorHAnsi"/>
          <w:lang w:val="sr-Latn-RS"/>
        </w:rPr>
        <w:t xml:space="preserve"> neradan, </w:t>
      </w:r>
      <w:r w:rsidR="009B1BB1">
        <w:rPr>
          <w:rFonts w:asciiTheme="minorHAnsi" w:hAnsiTheme="minorHAnsi" w:cstheme="minorHAnsi"/>
          <w:lang w:val="sr-Latn-RS"/>
        </w:rPr>
        <w:t xml:space="preserve">ali će </w:t>
      </w:r>
      <w:r w:rsidR="00CC3172">
        <w:rPr>
          <w:rFonts w:asciiTheme="minorHAnsi" w:hAnsiTheme="minorHAnsi" w:cstheme="minorHAnsi"/>
          <w:lang w:val="sr-Latn-RS"/>
        </w:rPr>
        <w:t>već 2. januara vrata</w:t>
      </w:r>
      <w:r w:rsidR="009B1BB1">
        <w:rPr>
          <w:rFonts w:asciiTheme="minorHAnsi" w:hAnsiTheme="minorHAnsi" w:cstheme="minorHAnsi"/>
          <w:lang w:val="sr-Latn-RS"/>
        </w:rPr>
        <w:t xml:space="preserve"> svih</w:t>
      </w:r>
      <w:r w:rsidR="00CC3172">
        <w:rPr>
          <w:rFonts w:asciiTheme="minorHAnsi" w:hAnsiTheme="minorHAnsi" w:cstheme="minorHAnsi"/>
          <w:lang w:val="sr-Latn-RS"/>
        </w:rPr>
        <w:t xml:space="preserve"> Lidl prodavnica biti otvorena u regularnom vremenskom intervalu. </w:t>
      </w:r>
    </w:p>
    <w:p w14:paraId="7E81F7EB" w14:textId="089EC23C" w:rsidR="007D4425" w:rsidRDefault="00CC3172" w:rsidP="007D4425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Kada je reč o Badnjem danu, </w:t>
      </w:r>
      <w:r w:rsidR="000C6196">
        <w:rPr>
          <w:rFonts w:asciiTheme="minorHAnsi" w:hAnsiTheme="minorHAnsi" w:cstheme="minorHAnsi"/>
          <w:lang w:val="sr-Latn-RS"/>
        </w:rPr>
        <w:t>prodavnice će</w:t>
      </w:r>
      <w:r w:rsidR="00CF15E0">
        <w:rPr>
          <w:rFonts w:asciiTheme="minorHAnsi" w:hAnsiTheme="minorHAnsi" w:cstheme="minorHAnsi"/>
          <w:lang w:val="sr-Latn-RS"/>
        </w:rPr>
        <w:t>, takođe,</w:t>
      </w:r>
      <w:r w:rsidR="000C6196">
        <w:rPr>
          <w:rFonts w:asciiTheme="minorHAnsi" w:hAnsiTheme="minorHAnsi" w:cstheme="minorHAnsi"/>
          <w:lang w:val="sr-Latn-RS"/>
        </w:rPr>
        <w:t xml:space="preserve"> raditi skraćeno </w:t>
      </w:r>
      <w:r>
        <w:rPr>
          <w:rFonts w:asciiTheme="minorHAnsi" w:hAnsiTheme="minorHAnsi" w:cstheme="minorHAnsi"/>
          <w:lang w:val="sr-Latn-RS"/>
        </w:rPr>
        <w:t xml:space="preserve">do 18 časova, a </w:t>
      </w:r>
      <w:r w:rsidR="00C122D7">
        <w:rPr>
          <w:rFonts w:asciiTheme="minorHAnsi" w:hAnsiTheme="minorHAnsi" w:cstheme="minorHAnsi"/>
          <w:lang w:val="sr-Latn-RS"/>
        </w:rPr>
        <w:t xml:space="preserve">Božić će </w:t>
      </w:r>
      <w:r w:rsidR="00CF15E0">
        <w:rPr>
          <w:rFonts w:asciiTheme="minorHAnsi" w:hAnsiTheme="minorHAnsi" w:cstheme="minorHAnsi"/>
          <w:lang w:val="sr-Latn-RS"/>
        </w:rPr>
        <w:t>za sve zaposlene u Lidl prodavnicama</w:t>
      </w:r>
      <w:r w:rsidR="007D4425">
        <w:rPr>
          <w:rFonts w:asciiTheme="minorHAnsi" w:hAnsiTheme="minorHAnsi" w:cstheme="minorHAnsi"/>
          <w:lang w:val="sr-Latn-RS"/>
        </w:rPr>
        <w:t xml:space="preserve"> </w:t>
      </w:r>
      <w:r w:rsidR="000C6196">
        <w:rPr>
          <w:rFonts w:asciiTheme="minorHAnsi" w:hAnsiTheme="minorHAnsi" w:cstheme="minorHAnsi"/>
          <w:lang w:val="sr-Latn-RS"/>
        </w:rPr>
        <w:t>biti neradan dan</w:t>
      </w:r>
      <w:r w:rsidR="00C122D7">
        <w:rPr>
          <w:rFonts w:asciiTheme="minorHAnsi" w:hAnsiTheme="minorHAnsi" w:cstheme="minorHAnsi"/>
          <w:lang w:val="sr-Latn-RS"/>
        </w:rPr>
        <w:t>.</w:t>
      </w:r>
      <w:r w:rsidR="007D4425" w:rsidRPr="007D4425">
        <w:rPr>
          <w:rFonts w:asciiTheme="minorHAnsi" w:hAnsiTheme="minorHAnsi" w:cstheme="minorHAnsi"/>
          <w:lang w:val="sr-Latn-RS"/>
        </w:rPr>
        <w:t xml:space="preserve"> </w:t>
      </w:r>
    </w:p>
    <w:p w14:paraId="5D89C419" w14:textId="4D8E2B7F" w:rsidR="007D4425" w:rsidRDefault="007D4425" w:rsidP="008D6F7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U </w:t>
      </w:r>
      <w:r w:rsidR="00B914A6">
        <w:rPr>
          <w:rFonts w:asciiTheme="minorHAnsi" w:hAnsiTheme="minorHAnsi" w:cstheme="minorHAnsi"/>
          <w:lang w:val="sr-Latn-RS"/>
        </w:rPr>
        <w:t xml:space="preserve">ovo </w:t>
      </w:r>
      <w:r>
        <w:rPr>
          <w:rFonts w:asciiTheme="minorHAnsi" w:hAnsiTheme="minorHAnsi" w:cstheme="minorHAnsi"/>
          <w:lang w:val="sr-Latn-RS"/>
        </w:rPr>
        <w:t xml:space="preserve">vreme velikih kupovina, </w:t>
      </w:r>
      <w:r w:rsidR="00B914A6">
        <w:rPr>
          <w:rFonts w:asciiTheme="minorHAnsi" w:hAnsiTheme="minorHAnsi" w:cstheme="minorHAnsi"/>
          <w:lang w:val="sr-Latn-RS"/>
        </w:rPr>
        <w:t xml:space="preserve">Lidl </w:t>
      </w:r>
      <w:r w:rsidR="00B914A6" w:rsidRPr="00FA57B5">
        <w:rPr>
          <w:rFonts w:asciiTheme="minorHAnsi" w:hAnsiTheme="minorHAnsi" w:cstheme="minorHAnsi"/>
          <w:lang w:val="sr-Latn-RS"/>
        </w:rPr>
        <w:t>garantuje još povoljniju prazničnu kupovinu</w:t>
      </w:r>
      <w:r w:rsidR="00B914A6">
        <w:rPr>
          <w:rFonts w:asciiTheme="minorHAnsi" w:hAnsiTheme="minorHAnsi" w:cstheme="minorHAnsi"/>
          <w:lang w:val="sr-Latn-RS"/>
        </w:rPr>
        <w:t>,</w:t>
      </w:r>
      <w:r w:rsidR="00B914A6" w:rsidRPr="00FA57B5">
        <w:rPr>
          <w:rFonts w:asciiTheme="minorHAnsi" w:hAnsiTheme="minorHAnsi" w:cstheme="minorHAnsi"/>
          <w:lang w:val="sr-Latn-RS"/>
        </w:rPr>
        <w:t xml:space="preserve"> </w:t>
      </w:r>
      <w:r w:rsidRPr="00FA57B5">
        <w:rPr>
          <w:rFonts w:asciiTheme="minorHAnsi" w:hAnsiTheme="minorHAnsi" w:cstheme="minorHAnsi"/>
          <w:lang w:val="sr-Latn-RS"/>
        </w:rPr>
        <w:t xml:space="preserve">u svojoj ponudi </w:t>
      </w:r>
      <w:r w:rsidR="00B914A6">
        <w:rPr>
          <w:rFonts w:asciiTheme="minorHAnsi" w:hAnsiTheme="minorHAnsi" w:cstheme="minorHAnsi"/>
          <w:lang w:val="sr-Latn-RS"/>
        </w:rPr>
        <w:t xml:space="preserve">kompanija je </w:t>
      </w:r>
      <w:r w:rsidRPr="00FA57B5">
        <w:rPr>
          <w:rFonts w:asciiTheme="minorHAnsi" w:hAnsiTheme="minorHAnsi" w:cstheme="minorHAnsi"/>
          <w:lang w:val="sr-Latn-RS"/>
        </w:rPr>
        <w:t>izdvoji</w:t>
      </w:r>
      <w:r w:rsidR="00B914A6">
        <w:rPr>
          <w:rFonts w:asciiTheme="minorHAnsi" w:hAnsiTheme="minorHAnsi" w:cstheme="minorHAnsi"/>
          <w:lang w:val="sr-Latn-RS"/>
        </w:rPr>
        <w:t>la</w:t>
      </w:r>
      <w:r w:rsidRPr="00FA57B5">
        <w:rPr>
          <w:rFonts w:asciiTheme="minorHAnsi" w:hAnsiTheme="minorHAnsi" w:cstheme="minorHAnsi"/>
          <w:lang w:val="sr-Latn-RS"/>
        </w:rPr>
        <w:t xml:space="preserve"> 50 artikala čije </w:t>
      </w:r>
      <w:r>
        <w:rPr>
          <w:rFonts w:asciiTheme="minorHAnsi" w:hAnsiTheme="minorHAnsi" w:cstheme="minorHAnsi"/>
          <w:lang w:val="sr-Latn-RS"/>
        </w:rPr>
        <w:t>su</w:t>
      </w:r>
      <w:r w:rsidRPr="00FA57B5">
        <w:rPr>
          <w:rFonts w:asciiTheme="minorHAnsi" w:hAnsiTheme="minorHAnsi" w:cstheme="minorHAnsi"/>
          <w:lang w:val="sr-Latn-RS"/>
        </w:rPr>
        <w:t xml:space="preserve"> redovne cene „zamrznute“ do 1. februara </w:t>
      </w:r>
      <w:r>
        <w:rPr>
          <w:rFonts w:asciiTheme="minorHAnsi" w:hAnsiTheme="minorHAnsi" w:cstheme="minorHAnsi"/>
          <w:lang w:val="sr-Latn-RS"/>
        </w:rPr>
        <w:t>2023.</w:t>
      </w:r>
      <w:r w:rsidRPr="00FA57B5">
        <w:rPr>
          <w:rFonts w:asciiTheme="minorHAnsi" w:hAnsiTheme="minorHAnsi" w:cstheme="minorHAnsi"/>
          <w:lang w:val="sr-Latn-RS"/>
        </w:rPr>
        <w:t xml:space="preserve"> godine. To znači da cene ovih proizvoda</w:t>
      </w:r>
      <w:r>
        <w:rPr>
          <w:rFonts w:asciiTheme="minorHAnsi" w:hAnsiTheme="minorHAnsi" w:cstheme="minorHAnsi"/>
          <w:lang w:val="sr-Latn-RS"/>
        </w:rPr>
        <w:t>,</w:t>
      </w:r>
      <w:r w:rsidRPr="00FA57B5">
        <w:rPr>
          <w:rFonts w:asciiTheme="minorHAnsi" w:hAnsiTheme="minorHAnsi" w:cstheme="minorHAnsi"/>
          <w:lang w:val="sr-Latn-RS"/>
        </w:rPr>
        <w:t xml:space="preserve"> iz gotovo svih kategorija u Lidlu</w:t>
      </w:r>
      <w:r>
        <w:rPr>
          <w:rFonts w:asciiTheme="minorHAnsi" w:hAnsiTheme="minorHAnsi" w:cstheme="minorHAnsi"/>
          <w:lang w:val="sr-Latn-RS"/>
        </w:rPr>
        <w:t>,</w:t>
      </w:r>
      <w:r w:rsidRPr="00FA57B5">
        <w:rPr>
          <w:rFonts w:asciiTheme="minorHAnsi" w:hAnsiTheme="minorHAnsi" w:cstheme="minorHAnsi"/>
          <w:lang w:val="sr-Latn-RS"/>
        </w:rPr>
        <w:t xml:space="preserve"> mogu biti samo niže,</w:t>
      </w:r>
      <w:r w:rsidR="00B914A6" w:rsidRPr="00B914A6">
        <w:rPr>
          <w:rFonts w:asciiTheme="minorHAnsi" w:hAnsiTheme="minorHAnsi" w:cstheme="minorHAnsi"/>
          <w:lang w:val="sr-Latn-RS"/>
        </w:rPr>
        <w:t xml:space="preserve"> </w:t>
      </w:r>
      <w:r w:rsidR="00B914A6">
        <w:rPr>
          <w:rFonts w:asciiTheme="minorHAnsi" w:hAnsiTheme="minorHAnsi" w:cstheme="minorHAnsi"/>
          <w:lang w:val="sr-Latn-RS"/>
        </w:rPr>
        <w:t>a sve</w:t>
      </w:r>
      <w:r w:rsidR="00B914A6" w:rsidRPr="00FA57B5">
        <w:rPr>
          <w:rFonts w:asciiTheme="minorHAnsi" w:hAnsiTheme="minorHAnsi" w:cstheme="minorHAnsi"/>
          <w:lang w:val="sr-Latn-RS"/>
        </w:rPr>
        <w:t xml:space="preserve"> </w:t>
      </w:r>
      <w:r w:rsidR="00B914A6">
        <w:rPr>
          <w:rFonts w:asciiTheme="minorHAnsi" w:hAnsiTheme="minorHAnsi" w:cstheme="minorHAnsi"/>
          <w:lang w:val="sr-Latn-RS"/>
        </w:rPr>
        <w:t>sa ciljem pružanja podrške kućnim budžetima</w:t>
      </w:r>
      <w:r w:rsidRPr="00FA57B5">
        <w:rPr>
          <w:rFonts w:asciiTheme="minorHAnsi" w:hAnsiTheme="minorHAnsi" w:cstheme="minorHAnsi"/>
          <w:lang w:val="sr-Latn-RS"/>
        </w:rPr>
        <w:t>.</w:t>
      </w:r>
    </w:p>
    <w:p w14:paraId="041DE66C" w14:textId="22747282" w:rsidR="00C122D7" w:rsidRDefault="00C122D7" w:rsidP="008D6F7F">
      <w:pPr>
        <w:jc w:val="both"/>
        <w:rPr>
          <w:rFonts w:asciiTheme="minorHAnsi" w:hAnsiTheme="minorHAnsi" w:cstheme="minorHAnsi"/>
          <w:lang w:val="sr-Latn-RS"/>
        </w:rPr>
      </w:pPr>
    </w:p>
    <w:tbl>
      <w:tblPr>
        <w:tblStyle w:val="ListTable4-Accent1"/>
        <w:tblW w:w="0" w:type="auto"/>
        <w:jc w:val="center"/>
        <w:tblLook w:val="04A0" w:firstRow="1" w:lastRow="0" w:firstColumn="1" w:lastColumn="0" w:noHBand="0" w:noVBand="1"/>
      </w:tblPr>
      <w:tblGrid>
        <w:gridCol w:w="1950"/>
        <w:gridCol w:w="1950"/>
      </w:tblGrid>
      <w:tr w:rsidR="000C6196" w14:paraId="0561BC91" w14:textId="77777777" w:rsidTr="00B3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bottom"/>
          </w:tcPr>
          <w:p w14:paraId="079F9964" w14:textId="32CBD586" w:rsidR="000C6196" w:rsidRPr="000C6196" w:rsidRDefault="000C6196" w:rsidP="00B37CF1">
            <w:pPr>
              <w:spacing w:before="240"/>
              <w:jc w:val="center"/>
              <w:rPr>
                <w:rFonts w:asciiTheme="minorHAnsi" w:hAnsiTheme="minorHAnsi" w:cstheme="minorHAnsi"/>
                <w:lang w:val="sr-Latn-RS"/>
              </w:rPr>
            </w:pPr>
            <w:r w:rsidRPr="000C6196">
              <w:rPr>
                <w:rFonts w:asciiTheme="minorHAnsi" w:hAnsiTheme="minorHAnsi" w:cstheme="minorHAnsi"/>
                <w:lang w:val="sr-Latn-RS"/>
              </w:rPr>
              <w:t>Datum</w:t>
            </w:r>
          </w:p>
        </w:tc>
        <w:tc>
          <w:tcPr>
            <w:tcW w:w="1950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vAlign w:val="bottom"/>
          </w:tcPr>
          <w:p w14:paraId="10CC36DF" w14:textId="471EEEB9" w:rsidR="000C6196" w:rsidRPr="000C6196" w:rsidRDefault="000C6196" w:rsidP="00B37CF1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 w:rsidRPr="000C6196">
              <w:rPr>
                <w:rFonts w:asciiTheme="minorHAnsi" w:hAnsiTheme="minorHAnsi" w:cstheme="minorHAnsi"/>
                <w:lang w:val="sr-Latn-RS"/>
              </w:rPr>
              <w:t>Radno vreme</w:t>
            </w:r>
          </w:p>
        </w:tc>
      </w:tr>
      <w:tr w:rsidR="000C6196" w14:paraId="06AAE240" w14:textId="77777777" w:rsidTr="00B3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single" w:sz="12" w:space="0" w:color="365F91" w:themeColor="accent1" w:themeShade="BF"/>
              <w:left w:val="single" w:sz="12" w:space="0" w:color="365F91"/>
              <w:right w:val="single" w:sz="12" w:space="0" w:color="365F91" w:themeColor="accent1" w:themeShade="BF"/>
            </w:tcBorders>
            <w:vAlign w:val="center"/>
          </w:tcPr>
          <w:p w14:paraId="118BB8F5" w14:textId="67A3C2AA" w:rsidR="000C6196" w:rsidRPr="00B37CF1" w:rsidRDefault="000C6196" w:rsidP="00B37CF1">
            <w:pPr>
              <w:spacing w:before="120" w:after="120"/>
              <w:jc w:val="center"/>
              <w:rPr>
                <w:rFonts w:asciiTheme="minorHAnsi" w:hAnsiTheme="minorHAnsi" w:cstheme="minorHAnsi"/>
                <w:b w:val="0"/>
                <w:bCs w:val="0"/>
                <w:lang w:val="sr-Latn-RS"/>
              </w:rPr>
            </w:pPr>
            <w:r w:rsidRPr="00FA57B5">
              <w:rPr>
                <w:rFonts w:asciiTheme="minorHAnsi" w:hAnsiTheme="minorHAnsi" w:cstheme="minorHAnsi"/>
                <w:lang w:val="sr-Latn-RS"/>
              </w:rPr>
              <w:t>31.12.</w:t>
            </w:r>
          </w:p>
        </w:tc>
        <w:tc>
          <w:tcPr>
            <w:tcW w:w="1950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right w:val="single" w:sz="12" w:space="0" w:color="365F91"/>
            </w:tcBorders>
            <w:vAlign w:val="center"/>
          </w:tcPr>
          <w:p w14:paraId="38433DE9" w14:textId="314DCF5B" w:rsidR="000C6196" w:rsidRDefault="000C6196" w:rsidP="00B37CF1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do 18:00h</w:t>
            </w:r>
          </w:p>
        </w:tc>
      </w:tr>
      <w:tr w:rsidR="000C6196" w14:paraId="1F89C09C" w14:textId="77777777" w:rsidTr="00B37CF1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left w:val="single" w:sz="12" w:space="0" w:color="365F91"/>
              <w:right w:val="single" w:sz="12" w:space="0" w:color="365F91" w:themeColor="accent1" w:themeShade="BF"/>
            </w:tcBorders>
            <w:vAlign w:val="center"/>
          </w:tcPr>
          <w:p w14:paraId="64B6531E" w14:textId="3A527376" w:rsidR="000C6196" w:rsidRPr="00B37CF1" w:rsidRDefault="000C6196" w:rsidP="00B37CF1">
            <w:pPr>
              <w:spacing w:before="120" w:after="120"/>
              <w:jc w:val="center"/>
              <w:rPr>
                <w:rFonts w:asciiTheme="minorHAnsi" w:hAnsiTheme="minorHAnsi" w:cstheme="minorHAnsi"/>
                <w:b w:val="0"/>
                <w:bCs w:val="0"/>
                <w:lang w:val="sr-Latn-RS"/>
              </w:rPr>
            </w:pPr>
            <w:r w:rsidRPr="00FA57B5">
              <w:rPr>
                <w:rFonts w:asciiTheme="minorHAnsi" w:hAnsiTheme="minorHAnsi" w:cstheme="minorHAnsi"/>
                <w:lang w:val="sr-Latn-RS"/>
              </w:rPr>
              <w:t>1.1.</w:t>
            </w:r>
          </w:p>
        </w:tc>
        <w:tc>
          <w:tcPr>
            <w:tcW w:w="1950" w:type="dxa"/>
            <w:tcBorders>
              <w:left w:val="single" w:sz="12" w:space="0" w:color="365F91" w:themeColor="accent1" w:themeShade="BF"/>
              <w:right w:val="single" w:sz="12" w:space="0" w:color="365F91"/>
            </w:tcBorders>
            <w:vAlign w:val="center"/>
          </w:tcPr>
          <w:p w14:paraId="419F83A2" w14:textId="6EC885BE" w:rsidR="000C6196" w:rsidRDefault="000C6196" w:rsidP="00B37CF1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neradno</w:t>
            </w:r>
          </w:p>
        </w:tc>
      </w:tr>
      <w:tr w:rsidR="000C6196" w14:paraId="46BC6230" w14:textId="77777777" w:rsidTr="00B3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left w:val="single" w:sz="12" w:space="0" w:color="365F91"/>
              <w:right w:val="single" w:sz="12" w:space="0" w:color="365F91" w:themeColor="accent1" w:themeShade="BF"/>
            </w:tcBorders>
            <w:vAlign w:val="center"/>
          </w:tcPr>
          <w:p w14:paraId="02AEE396" w14:textId="7981C520" w:rsidR="000C6196" w:rsidRPr="00B37CF1" w:rsidRDefault="000C6196" w:rsidP="00B37CF1">
            <w:pPr>
              <w:spacing w:before="120" w:after="120"/>
              <w:jc w:val="center"/>
              <w:rPr>
                <w:rFonts w:asciiTheme="minorHAnsi" w:hAnsiTheme="minorHAnsi" w:cstheme="minorHAnsi"/>
                <w:b w:val="0"/>
                <w:bCs w:val="0"/>
                <w:lang w:val="sr-Latn-RS"/>
              </w:rPr>
            </w:pPr>
            <w:r w:rsidRPr="00FA57B5">
              <w:rPr>
                <w:rFonts w:asciiTheme="minorHAnsi" w:hAnsiTheme="minorHAnsi" w:cstheme="minorHAnsi"/>
                <w:lang w:val="sr-Latn-RS"/>
              </w:rPr>
              <w:t>2.1.</w:t>
            </w:r>
          </w:p>
        </w:tc>
        <w:tc>
          <w:tcPr>
            <w:tcW w:w="1950" w:type="dxa"/>
            <w:tcBorders>
              <w:left w:val="single" w:sz="12" w:space="0" w:color="365F91" w:themeColor="accent1" w:themeShade="BF"/>
              <w:right w:val="single" w:sz="12" w:space="0" w:color="365F91"/>
            </w:tcBorders>
            <w:vAlign w:val="center"/>
          </w:tcPr>
          <w:p w14:paraId="0A5DACD7" w14:textId="4E604BCB" w:rsidR="000C6196" w:rsidRDefault="000C6196" w:rsidP="00B37CF1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regularno</w:t>
            </w:r>
          </w:p>
        </w:tc>
      </w:tr>
      <w:tr w:rsidR="000C6196" w14:paraId="07C73629" w14:textId="77777777" w:rsidTr="00B37CF1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left w:val="single" w:sz="12" w:space="0" w:color="365F91"/>
              <w:right w:val="single" w:sz="12" w:space="0" w:color="365F91" w:themeColor="accent1" w:themeShade="BF"/>
            </w:tcBorders>
            <w:vAlign w:val="center"/>
          </w:tcPr>
          <w:p w14:paraId="440FB11B" w14:textId="557A85D0" w:rsidR="000C6196" w:rsidRPr="00B37CF1" w:rsidRDefault="000C6196" w:rsidP="00B37CF1">
            <w:pPr>
              <w:spacing w:before="120" w:after="120"/>
              <w:jc w:val="center"/>
              <w:rPr>
                <w:rFonts w:asciiTheme="minorHAnsi" w:hAnsiTheme="minorHAnsi" w:cstheme="minorHAnsi"/>
                <w:b w:val="0"/>
                <w:bCs w:val="0"/>
                <w:lang w:val="sr-Latn-RS"/>
              </w:rPr>
            </w:pPr>
            <w:r w:rsidRPr="00FA57B5">
              <w:rPr>
                <w:rFonts w:asciiTheme="minorHAnsi" w:hAnsiTheme="minorHAnsi" w:cstheme="minorHAnsi"/>
                <w:lang w:val="sr-Latn-RS"/>
              </w:rPr>
              <w:t>6.1.</w:t>
            </w:r>
          </w:p>
        </w:tc>
        <w:tc>
          <w:tcPr>
            <w:tcW w:w="1950" w:type="dxa"/>
            <w:tcBorders>
              <w:left w:val="single" w:sz="12" w:space="0" w:color="365F91" w:themeColor="accent1" w:themeShade="BF"/>
              <w:right w:val="single" w:sz="12" w:space="0" w:color="365F91"/>
            </w:tcBorders>
            <w:vAlign w:val="center"/>
          </w:tcPr>
          <w:p w14:paraId="290A3605" w14:textId="3B1FCFCF" w:rsidR="000C6196" w:rsidRDefault="000C6196" w:rsidP="00B37CF1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do 18:00h</w:t>
            </w:r>
          </w:p>
        </w:tc>
      </w:tr>
      <w:tr w:rsidR="000C6196" w14:paraId="1E0E4DD4" w14:textId="77777777" w:rsidTr="00B3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left w:val="single" w:sz="12" w:space="0" w:color="365F91"/>
              <w:right w:val="single" w:sz="12" w:space="0" w:color="365F91" w:themeColor="accent1" w:themeShade="BF"/>
            </w:tcBorders>
            <w:vAlign w:val="center"/>
          </w:tcPr>
          <w:p w14:paraId="00757C4B" w14:textId="6E17FEE1" w:rsidR="000C6196" w:rsidRPr="00B37CF1" w:rsidRDefault="000C6196" w:rsidP="00B37CF1">
            <w:pPr>
              <w:spacing w:before="120" w:after="120"/>
              <w:jc w:val="center"/>
              <w:rPr>
                <w:rFonts w:asciiTheme="minorHAnsi" w:hAnsiTheme="minorHAnsi" w:cstheme="minorHAnsi"/>
                <w:b w:val="0"/>
                <w:bCs w:val="0"/>
                <w:lang w:val="sr-Latn-RS"/>
              </w:rPr>
            </w:pPr>
            <w:r w:rsidRPr="00FA57B5">
              <w:rPr>
                <w:rFonts w:asciiTheme="minorHAnsi" w:hAnsiTheme="minorHAnsi" w:cstheme="minorHAnsi"/>
                <w:lang w:val="sr-Latn-RS"/>
              </w:rPr>
              <w:t>7.1.</w:t>
            </w:r>
          </w:p>
        </w:tc>
        <w:tc>
          <w:tcPr>
            <w:tcW w:w="1950" w:type="dxa"/>
            <w:tcBorders>
              <w:left w:val="single" w:sz="12" w:space="0" w:color="365F91" w:themeColor="accent1" w:themeShade="BF"/>
              <w:right w:val="single" w:sz="12" w:space="0" w:color="365F91"/>
            </w:tcBorders>
            <w:vAlign w:val="center"/>
          </w:tcPr>
          <w:p w14:paraId="362E01F8" w14:textId="56706B21" w:rsidR="000C6196" w:rsidRDefault="000C6196" w:rsidP="00B37CF1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neradno</w:t>
            </w:r>
          </w:p>
        </w:tc>
      </w:tr>
      <w:tr w:rsidR="000C6196" w14:paraId="603E3DD5" w14:textId="77777777" w:rsidTr="00B37CF1">
        <w:trPr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left w:val="single" w:sz="12" w:space="0" w:color="365F91"/>
              <w:bottom w:val="single" w:sz="12" w:space="0" w:color="365F91"/>
              <w:right w:val="single" w:sz="12" w:space="0" w:color="365F91" w:themeColor="accent1" w:themeShade="BF"/>
            </w:tcBorders>
            <w:vAlign w:val="center"/>
          </w:tcPr>
          <w:p w14:paraId="25CC8EF1" w14:textId="0EB287E7" w:rsidR="000C6196" w:rsidRPr="00B37CF1" w:rsidRDefault="007D4425" w:rsidP="00B37CF1">
            <w:pPr>
              <w:spacing w:before="120" w:after="120"/>
              <w:jc w:val="center"/>
              <w:rPr>
                <w:rFonts w:asciiTheme="minorHAnsi" w:hAnsiTheme="minorHAnsi" w:cstheme="minorHAnsi"/>
                <w:b w:val="0"/>
                <w:bCs w:val="0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8</w:t>
            </w:r>
            <w:r w:rsidR="000C6196" w:rsidRPr="00FA57B5">
              <w:rPr>
                <w:rFonts w:asciiTheme="minorHAnsi" w:hAnsiTheme="minorHAnsi" w:cstheme="minorHAnsi"/>
                <w:lang w:val="sr-Latn-RS"/>
              </w:rPr>
              <w:t>.1.</w:t>
            </w:r>
          </w:p>
        </w:tc>
        <w:tc>
          <w:tcPr>
            <w:tcW w:w="1950" w:type="dxa"/>
            <w:tcBorders>
              <w:left w:val="single" w:sz="12" w:space="0" w:color="365F91" w:themeColor="accent1" w:themeShade="BF"/>
              <w:bottom w:val="single" w:sz="12" w:space="0" w:color="365F91"/>
              <w:right w:val="single" w:sz="12" w:space="0" w:color="365F91"/>
            </w:tcBorders>
            <w:vAlign w:val="center"/>
          </w:tcPr>
          <w:p w14:paraId="33946D9F" w14:textId="2F64BC19" w:rsidR="000C6196" w:rsidRDefault="000C6196" w:rsidP="00B37CF1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regularno</w:t>
            </w:r>
          </w:p>
        </w:tc>
      </w:tr>
    </w:tbl>
    <w:p w14:paraId="00B41318" w14:textId="6859B493" w:rsidR="007851ED" w:rsidRDefault="007851ED" w:rsidP="008D6F7F">
      <w:pPr>
        <w:jc w:val="both"/>
        <w:rPr>
          <w:rFonts w:asciiTheme="minorHAnsi" w:hAnsiTheme="minorHAnsi" w:cstheme="minorHAnsi"/>
          <w:lang w:val="sr-Latn-RS"/>
        </w:rPr>
      </w:pPr>
    </w:p>
    <w:p w14:paraId="035B6303" w14:textId="0184ECC6" w:rsidR="00B556D9" w:rsidRDefault="007D4425" w:rsidP="008D6F7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Lidl </w:t>
      </w:r>
      <w:r w:rsidR="00B556D9">
        <w:rPr>
          <w:rFonts w:asciiTheme="minorHAnsi" w:hAnsiTheme="minorHAnsi" w:cstheme="minorHAnsi"/>
          <w:lang w:val="sr-Latn-RS"/>
        </w:rPr>
        <w:t xml:space="preserve">vam </w:t>
      </w:r>
      <w:r>
        <w:rPr>
          <w:rFonts w:asciiTheme="minorHAnsi" w:hAnsiTheme="minorHAnsi" w:cstheme="minorHAnsi"/>
          <w:lang w:val="sr-Latn-RS"/>
        </w:rPr>
        <w:t xml:space="preserve">želi </w:t>
      </w:r>
      <w:r w:rsidR="00B556D9">
        <w:rPr>
          <w:rFonts w:asciiTheme="minorHAnsi" w:hAnsiTheme="minorHAnsi" w:cstheme="minorHAnsi"/>
          <w:lang w:val="sr-Latn-RS"/>
        </w:rPr>
        <w:t>srećne novogodišnje i božićne praznike!</w:t>
      </w:r>
    </w:p>
    <w:p w14:paraId="31E5C089" w14:textId="32F4D1A2" w:rsidR="00FA57B5" w:rsidRDefault="00FA57B5" w:rsidP="008D6F7F">
      <w:pPr>
        <w:jc w:val="both"/>
        <w:rPr>
          <w:rFonts w:asciiTheme="minorHAnsi" w:hAnsiTheme="minorHAnsi" w:cstheme="minorHAnsi"/>
          <w:lang w:val="sr-Latn-RS"/>
        </w:rPr>
      </w:pPr>
    </w:p>
    <w:p w14:paraId="4B8655CF" w14:textId="77777777" w:rsidR="007D4425" w:rsidRDefault="007D4425" w:rsidP="008D6F7F">
      <w:pPr>
        <w:jc w:val="both"/>
        <w:rPr>
          <w:rFonts w:asciiTheme="minorHAnsi" w:hAnsiTheme="minorHAnsi" w:cstheme="minorHAnsi"/>
          <w:lang w:val="sr-Latn-RS"/>
        </w:rPr>
      </w:pPr>
    </w:p>
    <w:p w14:paraId="4409E37E" w14:textId="224F4624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3B420F7C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476133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476133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482D4C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B914A6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B914A6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000000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000000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39CD4" w14:textId="77777777" w:rsidR="00A9117F" w:rsidRDefault="00A9117F" w:rsidP="003D467C">
      <w:pPr>
        <w:spacing w:after="0" w:line="240" w:lineRule="auto"/>
      </w:pPr>
      <w:r>
        <w:separator/>
      </w:r>
    </w:p>
  </w:endnote>
  <w:endnote w:type="continuationSeparator" w:id="0">
    <w:p w14:paraId="3C365366" w14:textId="77777777" w:rsidR="00A9117F" w:rsidRDefault="00A9117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480A" w14:textId="77777777" w:rsidR="00A9117F" w:rsidRDefault="00A9117F" w:rsidP="003D467C">
      <w:pPr>
        <w:spacing w:after="0" w:line="240" w:lineRule="auto"/>
      </w:pPr>
      <w:r>
        <w:separator/>
      </w:r>
    </w:p>
  </w:footnote>
  <w:footnote w:type="continuationSeparator" w:id="0">
    <w:p w14:paraId="568DDB08" w14:textId="77777777" w:rsidR="00A9117F" w:rsidRDefault="00A9117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117015637">
    <w:abstractNumId w:val="1"/>
  </w:num>
  <w:num w:numId="2" w16cid:durableId="13195844">
    <w:abstractNumId w:val="1"/>
  </w:num>
  <w:num w:numId="3" w16cid:durableId="1610503999">
    <w:abstractNumId w:val="1"/>
  </w:num>
  <w:num w:numId="4" w16cid:durableId="1454254394">
    <w:abstractNumId w:val="1"/>
  </w:num>
  <w:num w:numId="5" w16cid:durableId="388572024">
    <w:abstractNumId w:val="1"/>
  </w:num>
  <w:num w:numId="6" w16cid:durableId="112865296">
    <w:abstractNumId w:val="1"/>
  </w:num>
  <w:num w:numId="7" w16cid:durableId="184825559">
    <w:abstractNumId w:val="1"/>
  </w:num>
  <w:num w:numId="8" w16cid:durableId="2066373657">
    <w:abstractNumId w:val="1"/>
  </w:num>
  <w:num w:numId="9" w16cid:durableId="119499473">
    <w:abstractNumId w:val="1"/>
  </w:num>
  <w:num w:numId="10" w16cid:durableId="678627767">
    <w:abstractNumId w:val="1"/>
  </w:num>
  <w:num w:numId="11" w16cid:durableId="146815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6196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0686F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5B59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329F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55BE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D3A1B"/>
    <w:rsid w:val="003D467C"/>
    <w:rsid w:val="003D7027"/>
    <w:rsid w:val="003E0678"/>
    <w:rsid w:val="003E1993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2D4C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7261"/>
    <w:rsid w:val="005876F3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1F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A64E0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2AC0"/>
    <w:rsid w:val="00783BFC"/>
    <w:rsid w:val="007851ED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4425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67DD5"/>
    <w:rsid w:val="00870B66"/>
    <w:rsid w:val="00871800"/>
    <w:rsid w:val="0087224F"/>
    <w:rsid w:val="008747C3"/>
    <w:rsid w:val="00875586"/>
    <w:rsid w:val="00882304"/>
    <w:rsid w:val="00882F52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D6F7F"/>
    <w:rsid w:val="008E2F14"/>
    <w:rsid w:val="008E62D9"/>
    <w:rsid w:val="008F0719"/>
    <w:rsid w:val="008F180F"/>
    <w:rsid w:val="008F31F7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1BB1"/>
    <w:rsid w:val="009B28B2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117F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37CF1"/>
    <w:rsid w:val="00B41D32"/>
    <w:rsid w:val="00B556D9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14A6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2D7"/>
    <w:rsid w:val="00C12526"/>
    <w:rsid w:val="00C13D72"/>
    <w:rsid w:val="00C20ECB"/>
    <w:rsid w:val="00C22874"/>
    <w:rsid w:val="00C24D51"/>
    <w:rsid w:val="00C25D08"/>
    <w:rsid w:val="00C312EF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1220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C3172"/>
    <w:rsid w:val="00CE0FB0"/>
    <w:rsid w:val="00CE454F"/>
    <w:rsid w:val="00CF0B6C"/>
    <w:rsid w:val="00CF15E0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496B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07C5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757E"/>
    <w:rsid w:val="00EB30DF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0D3F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3A2E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A57B5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F63A2E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1">
    <w:name w:val="Grid Table 5 Dark Accent 1"/>
    <w:basedOn w:val="TableNormal"/>
    <w:uiPriority w:val="50"/>
    <w:rsid w:val="00F63A2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ListTable4-Accent1">
    <w:name w:val="List Table 4 Accent 1"/>
    <w:basedOn w:val="TableNormal"/>
    <w:uiPriority w:val="49"/>
    <w:rsid w:val="00F63A2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Filip Kovacevic / RED</cp:lastModifiedBy>
  <cp:revision>6</cp:revision>
  <dcterms:created xsi:type="dcterms:W3CDTF">2022-12-22T08:25:00Z</dcterms:created>
  <dcterms:modified xsi:type="dcterms:W3CDTF">2022-12-23T10:27:00Z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